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6D71ADB3" w:rsidR="00ED7796" w:rsidRPr="001825F5" w:rsidRDefault="001825F5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1825F5">
        <w:rPr>
          <w:rFonts w:cstheme="minorHAnsi"/>
          <w:b/>
          <w:sz w:val="24"/>
          <w:szCs w:val="24"/>
        </w:rPr>
        <w:t>EMITIR RELATÓRIO DE AUDITORIA</w:t>
      </w:r>
    </w:p>
    <w:p w14:paraId="25E0C1F2" w14:textId="0C3AFD5E" w:rsidR="0008759C" w:rsidRPr="001825F5" w:rsidRDefault="0008759C" w:rsidP="00932113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1825F5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1825F5" w:rsidRPr="001825F5">
        <w:rPr>
          <w:rFonts w:cstheme="minorHAnsi"/>
          <w:color w:val="000000" w:themeColor="text1"/>
          <w:sz w:val="24"/>
          <w:szCs w:val="24"/>
        </w:rPr>
        <w:t>emitir o relatório de auditoria</w:t>
      </w:r>
      <w:r w:rsidR="00203FEC" w:rsidRPr="001825F5">
        <w:rPr>
          <w:rFonts w:cstheme="minorHAnsi"/>
          <w:color w:val="000000" w:themeColor="text1"/>
          <w:sz w:val="24"/>
          <w:szCs w:val="24"/>
        </w:rPr>
        <w:t xml:space="preserve"> </w:t>
      </w:r>
      <w:r w:rsidR="002D5DDB" w:rsidRPr="001825F5">
        <w:rPr>
          <w:rFonts w:cstheme="minorHAnsi"/>
          <w:color w:val="000000" w:themeColor="text1"/>
          <w:sz w:val="24"/>
          <w:szCs w:val="24"/>
        </w:rPr>
        <w:t>no</w:t>
      </w:r>
      <w:r w:rsidRPr="001825F5">
        <w:rPr>
          <w:rFonts w:cstheme="minorHAnsi"/>
          <w:color w:val="000000" w:themeColor="text1"/>
          <w:sz w:val="24"/>
          <w:szCs w:val="24"/>
        </w:rPr>
        <w:t xml:space="preserve"> </w:t>
      </w:r>
      <w:r w:rsidR="000D09ED" w:rsidRPr="001825F5">
        <w:rPr>
          <w:rFonts w:cstheme="minorHAnsi"/>
          <w:color w:val="000000" w:themeColor="text1"/>
          <w:sz w:val="24"/>
          <w:szCs w:val="24"/>
        </w:rPr>
        <w:t>TeamAudit</w:t>
      </w:r>
      <w:r w:rsidR="009424A2">
        <w:rPr>
          <w:rFonts w:cstheme="minorHAnsi"/>
          <w:color w:val="000000" w:themeColor="text1"/>
          <w:sz w:val="24"/>
          <w:szCs w:val="24"/>
        </w:rPr>
        <w:t xml:space="preserve"> ou para elaborar o relatório a partir do modelo padrão disponibilizado pela GEA.</w:t>
      </w:r>
    </w:p>
    <w:p w14:paraId="41E97C53" w14:textId="4C84160B" w:rsidR="001E4663" w:rsidRPr="001825F5" w:rsidRDefault="001825F5" w:rsidP="00203FEC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1825F5">
        <w:rPr>
          <w:rFonts w:asciiTheme="minorHAnsi" w:hAnsiTheme="minorHAnsi" w:cstheme="minorHAnsi"/>
          <w:sz w:val="24"/>
          <w:szCs w:val="24"/>
        </w:rPr>
        <w:t>EMITIR RELATÓRIO DE AUDITORI</w:t>
      </w:r>
      <w:r>
        <w:rPr>
          <w:rFonts w:asciiTheme="minorHAnsi" w:hAnsiTheme="minorHAnsi" w:cstheme="minorHAnsi"/>
          <w:sz w:val="24"/>
          <w:szCs w:val="24"/>
        </w:rPr>
        <w:t>A</w:t>
      </w:r>
      <w:r w:rsidR="00DD6DD9">
        <w:rPr>
          <w:rFonts w:asciiTheme="minorHAnsi" w:hAnsiTheme="minorHAnsi" w:cstheme="minorHAnsi"/>
          <w:sz w:val="24"/>
          <w:szCs w:val="24"/>
        </w:rPr>
        <w:t xml:space="preserve"> NO TEAMAUDIT</w:t>
      </w:r>
    </w:p>
    <w:p w14:paraId="5784772A" w14:textId="38F97CD3" w:rsidR="009424A2" w:rsidRDefault="009424A2" w:rsidP="001825F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Acessar auditoria no TeamAudit</w:t>
      </w:r>
    </w:p>
    <w:p w14:paraId="1DDE9F21" w14:textId="4366BD99" w:rsidR="001825F5" w:rsidRPr="001825F5" w:rsidRDefault="001825F5" w:rsidP="001825F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25F5">
        <w:rPr>
          <w:rFonts w:asciiTheme="minorHAnsi" w:hAnsiTheme="minorHAnsi" w:cstheme="minorHAnsi"/>
          <w:sz w:val="24"/>
          <w:szCs w:val="24"/>
        </w:rPr>
        <w:t xml:space="preserve">Clicar na aba lateral </w:t>
      </w:r>
      <w:r w:rsidRPr="001825F5">
        <w:rPr>
          <w:rFonts w:asciiTheme="minorHAnsi" w:hAnsiTheme="minorHAnsi" w:cstheme="minorHAnsi"/>
          <w:i/>
          <w:sz w:val="24"/>
          <w:szCs w:val="24"/>
        </w:rPr>
        <w:t>Relatórios</w:t>
      </w:r>
    </w:p>
    <w:p w14:paraId="2E98D752" w14:textId="77777777" w:rsidR="001825F5" w:rsidRPr="001825F5" w:rsidRDefault="001825F5" w:rsidP="001825F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25F5">
        <w:rPr>
          <w:rFonts w:asciiTheme="minorHAnsi" w:hAnsiTheme="minorHAnsi" w:cstheme="minorHAnsi"/>
          <w:sz w:val="24"/>
          <w:szCs w:val="24"/>
        </w:rPr>
        <w:t xml:space="preserve">Selecionar o </w:t>
      </w:r>
      <w:r>
        <w:rPr>
          <w:rFonts w:asciiTheme="minorHAnsi" w:hAnsiTheme="minorHAnsi" w:cstheme="minorHAnsi"/>
          <w:sz w:val="24"/>
          <w:szCs w:val="24"/>
        </w:rPr>
        <w:t xml:space="preserve">modelo em </w:t>
      </w:r>
      <w:r>
        <w:rPr>
          <w:rFonts w:asciiTheme="minorHAnsi" w:hAnsiTheme="minorHAnsi" w:cstheme="minorHAnsi"/>
          <w:i/>
          <w:sz w:val="24"/>
          <w:szCs w:val="24"/>
        </w:rPr>
        <w:t xml:space="preserve">Gerar a partir do Modelo </w:t>
      </w:r>
    </w:p>
    <w:p w14:paraId="008B78E1" w14:textId="1B9E9A79" w:rsidR="001825F5" w:rsidRPr="001825F5" w:rsidRDefault="001825F5" w:rsidP="001825F5">
      <w:pPr>
        <w:pStyle w:val="PargrafodaLista"/>
        <w:spacing w:after="20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eastAsia="pt-BR"/>
        </w:rPr>
        <w:drawing>
          <wp:inline distT="0" distB="0" distL="0" distR="0" wp14:anchorId="0BE5BB98" wp14:editId="3FD82E93">
            <wp:extent cx="4064000" cy="3200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10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035D" w14:textId="5592CEC1" w:rsidR="001825F5" w:rsidRDefault="001825F5" w:rsidP="001825F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25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1825F5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2188353" wp14:editId="7172CF88">
            <wp:extent cx="219075" cy="209550"/>
            <wp:effectExtent l="19050" t="0" r="9525" b="0"/>
            <wp:docPr id="229" name="Imagem 196" descr="Gerar Rel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Gerar Relatór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29BA6" w14:textId="24A50E39" w:rsidR="001825F5" w:rsidRDefault="001825F5" w:rsidP="001825F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Relatório será salvo no computador</w:t>
      </w:r>
    </w:p>
    <w:p w14:paraId="26C7820A" w14:textId="77777777" w:rsidR="00DD6DD9" w:rsidRPr="001825F5" w:rsidRDefault="00DD6DD9" w:rsidP="00DD6DD9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</w:p>
    <w:p w14:paraId="4ED47008" w14:textId="5215B3D9" w:rsidR="00DD6DD9" w:rsidRDefault="00DD6DD9" w:rsidP="00DD6DD9">
      <w:pPr>
        <w:pStyle w:val="Sub-Ttu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ELABORA RELATÓRIO DE AUDITORIA</w:t>
      </w:r>
      <w:r w:rsidR="009424A2">
        <w:rPr>
          <w:rFonts w:asciiTheme="minorHAnsi" w:hAnsiTheme="minorHAnsi" w:cstheme="minorHAnsi"/>
          <w:sz w:val="24"/>
          <w:szCs w:val="24"/>
        </w:rPr>
        <w:t xml:space="preserve"> a partir do modelo padrão</w:t>
      </w:r>
    </w:p>
    <w:p w14:paraId="2FE0233A" w14:textId="582B34E2" w:rsidR="00DD6DD9" w:rsidRPr="00DD6DD9" w:rsidRDefault="00DD6DD9" w:rsidP="00DD6DD9">
      <w:pPr>
        <w:jc w:val="both"/>
        <w:rPr>
          <w:sz w:val="24"/>
          <w:szCs w:val="24"/>
          <w:lang w:eastAsia="pt-BR"/>
        </w:rPr>
      </w:pPr>
      <w:r w:rsidRPr="00DD6DD9">
        <w:rPr>
          <w:b/>
          <w:sz w:val="24"/>
          <w:szCs w:val="24"/>
          <w:lang w:eastAsia="pt-BR"/>
        </w:rPr>
        <w:t>Nota:</w:t>
      </w:r>
      <w:r>
        <w:rPr>
          <w:sz w:val="24"/>
          <w:szCs w:val="24"/>
          <w:lang w:eastAsia="pt-BR"/>
        </w:rPr>
        <w:t xml:space="preserve"> Caso seja de preferência do auditor, o relatório poderá ser emitido a partir do modelo padronizado disponibilizado na pasta compartilhada com os papéis de trabalho da auditoria.</w:t>
      </w:r>
    </w:p>
    <w:p w14:paraId="61ECA596" w14:textId="77777777" w:rsidR="009424A2" w:rsidRPr="00720604" w:rsidRDefault="009424A2" w:rsidP="009424A2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Acessar a pasta compartilhada de papéis de trabalho da auditoria</w:t>
      </w:r>
    </w:p>
    <w:p w14:paraId="4E995CB5" w14:textId="598F8785" w:rsidR="009424A2" w:rsidRDefault="009424A2" w:rsidP="009424A2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relatório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Relatório de Auditoria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.docx)</w:t>
      </w:r>
    </w:p>
    <w:p w14:paraId="6C867733" w14:textId="4F8AADA7" w:rsidR="009424A2" w:rsidRPr="00C75974" w:rsidRDefault="009424A2" w:rsidP="009424A2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do relatório</w:t>
      </w:r>
      <w:bookmarkStart w:id="0" w:name="_GoBack"/>
      <w:bookmarkEnd w:id="0"/>
    </w:p>
    <w:p w14:paraId="7D97CB7F" w14:textId="77777777" w:rsidR="009424A2" w:rsidRPr="00C75974" w:rsidRDefault="009424A2" w:rsidP="009424A2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 para inserir no TeamAudit para revisão</w:t>
      </w:r>
    </w:p>
    <w:p w14:paraId="4FCA0598" w14:textId="5AEA19CD" w:rsidR="00DD6DD9" w:rsidRPr="001825F5" w:rsidRDefault="00DD6DD9" w:rsidP="009424A2">
      <w:pPr>
        <w:pStyle w:val="PargrafodaLista"/>
        <w:spacing w:after="20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1F5681" w14:textId="77777777" w:rsidR="00DD6DD9" w:rsidRPr="00DD6DD9" w:rsidRDefault="00DD6DD9" w:rsidP="00DD6DD9">
      <w:pPr>
        <w:spacing w:after="20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DD6DD9" w:rsidRPr="00DD6DD9" w:rsidSect="00AE21D8">
      <w:headerReference w:type="default" r:id="rId10"/>
      <w:footerReference w:type="default" r:id="rId11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BB7E9" w14:textId="77777777" w:rsidR="00AD3FD9" w:rsidRDefault="00AD3FD9" w:rsidP="00BC1E19">
      <w:pPr>
        <w:spacing w:after="0" w:line="240" w:lineRule="auto"/>
      </w:pPr>
      <w:r>
        <w:separator/>
      </w:r>
    </w:p>
  </w:endnote>
  <w:endnote w:type="continuationSeparator" w:id="0">
    <w:p w14:paraId="0C1EEE73" w14:textId="77777777" w:rsidR="00AD3FD9" w:rsidRDefault="00AD3FD9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5B0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11D2" w14:textId="77777777" w:rsidR="00AD3FD9" w:rsidRDefault="00AD3FD9" w:rsidP="00BC1E19">
      <w:pPr>
        <w:spacing w:after="0" w:line="240" w:lineRule="auto"/>
      </w:pPr>
      <w:r>
        <w:separator/>
      </w:r>
    </w:p>
  </w:footnote>
  <w:footnote w:type="continuationSeparator" w:id="0">
    <w:p w14:paraId="3C283FC0" w14:textId="77777777" w:rsidR="00AD3FD9" w:rsidRDefault="00AD3FD9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A00B9" id="Retângulo 6" o:spid="_x0000_s1026" style="position:absolute;margin-left:-32.65pt;margin-top:-16.7pt;width:414pt;height:6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10151"/>
    <w:multiLevelType w:val="hybridMultilevel"/>
    <w:tmpl w:val="3D80CAF4"/>
    <w:lvl w:ilvl="0" w:tplc="E2BAA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A6FD7"/>
    <w:multiLevelType w:val="hybridMultilevel"/>
    <w:tmpl w:val="9D183F40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66AFC"/>
    <w:multiLevelType w:val="hybridMultilevel"/>
    <w:tmpl w:val="0BB45C56"/>
    <w:lvl w:ilvl="0" w:tplc="BB74F0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EC2576"/>
    <w:multiLevelType w:val="hybridMultilevel"/>
    <w:tmpl w:val="BA98CB4A"/>
    <w:lvl w:ilvl="0" w:tplc="4F807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6001B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3"/>
  </w:num>
  <w:num w:numId="4">
    <w:abstractNumId w:val="29"/>
  </w:num>
  <w:num w:numId="5">
    <w:abstractNumId w:val="3"/>
  </w:num>
  <w:num w:numId="6">
    <w:abstractNumId w:val="34"/>
  </w:num>
  <w:num w:numId="7">
    <w:abstractNumId w:val="26"/>
  </w:num>
  <w:num w:numId="8">
    <w:abstractNumId w:val="13"/>
  </w:num>
  <w:num w:numId="9">
    <w:abstractNumId w:val="4"/>
  </w:num>
  <w:num w:numId="10">
    <w:abstractNumId w:val="18"/>
  </w:num>
  <w:num w:numId="11">
    <w:abstractNumId w:val="22"/>
  </w:num>
  <w:num w:numId="12">
    <w:abstractNumId w:val="35"/>
  </w:num>
  <w:num w:numId="13">
    <w:abstractNumId w:val="24"/>
  </w:num>
  <w:num w:numId="14">
    <w:abstractNumId w:val="11"/>
  </w:num>
  <w:num w:numId="15">
    <w:abstractNumId w:val="32"/>
  </w:num>
  <w:num w:numId="16">
    <w:abstractNumId w:val="28"/>
  </w:num>
  <w:num w:numId="17">
    <w:abstractNumId w:val="16"/>
  </w:num>
  <w:num w:numId="18">
    <w:abstractNumId w:val="2"/>
  </w:num>
  <w:num w:numId="19">
    <w:abstractNumId w:val="17"/>
  </w:num>
  <w:num w:numId="20">
    <w:abstractNumId w:val="30"/>
  </w:num>
  <w:num w:numId="21">
    <w:abstractNumId w:val="0"/>
  </w:num>
  <w:num w:numId="22">
    <w:abstractNumId w:val="1"/>
  </w:num>
  <w:num w:numId="23">
    <w:abstractNumId w:val="25"/>
  </w:num>
  <w:num w:numId="24">
    <w:abstractNumId w:val="10"/>
  </w:num>
  <w:num w:numId="25">
    <w:abstractNumId w:val="14"/>
  </w:num>
  <w:num w:numId="26">
    <w:abstractNumId w:val="20"/>
  </w:num>
  <w:num w:numId="27">
    <w:abstractNumId w:val="7"/>
  </w:num>
  <w:num w:numId="28">
    <w:abstractNumId w:val="5"/>
  </w:num>
  <w:num w:numId="29">
    <w:abstractNumId w:val="19"/>
  </w:num>
  <w:num w:numId="30">
    <w:abstractNumId w:val="37"/>
  </w:num>
  <w:num w:numId="31">
    <w:abstractNumId w:val="21"/>
  </w:num>
  <w:num w:numId="32">
    <w:abstractNumId w:val="8"/>
  </w:num>
  <w:num w:numId="33">
    <w:abstractNumId w:val="12"/>
  </w:num>
  <w:num w:numId="34">
    <w:abstractNumId w:val="9"/>
  </w:num>
  <w:num w:numId="35">
    <w:abstractNumId w:val="31"/>
  </w:num>
  <w:num w:numId="36">
    <w:abstractNumId w:val="23"/>
  </w:num>
  <w:num w:numId="37">
    <w:abstractNumId w:val="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D09ED"/>
    <w:rsid w:val="000F1152"/>
    <w:rsid w:val="00115A22"/>
    <w:rsid w:val="00131A20"/>
    <w:rsid w:val="001335A8"/>
    <w:rsid w:val="00175562"/>
    <w:rsid w:val="001758B8"/>
    <w:rsid w:val="001825F5"/>
    <w:rsid w:val="00194247"/>
    <w:rsid w:val="001A7B47"/>
    <w:rsid w:val="001D7A5C"/>
    <w:rsid w:val="001E4663"/>
    <w:rsid w:val="00203FEC"/>
    <w:rsid w:val="00211939"/>
    <w:rsid w:val="00236C38"/>
    <w:rsid w:val="00297ADF"/>
    <w:rsid w:val="002A08C3"/>
    <w:rsid w:val="002B765A"/>
    <w:rsid w:val="002D5DDB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31C38"/>
    <w:rsid w:val="00440086"/>
    <w:rsid w:val="00470C98"/>
    <w:rsid w:val="00476575"/>
    <w:rsid w:val="005252F8"/>
    <w:rsid w:val="00564093"/>
    <w:rsid w:val="00565640"/>
    <w:rsid w:val="00565CCC"/>
    <w:rsid w:val="00584412"/>
    <w:rsid w:val="005B12A0"/>
    <w:rsid w:val="005C20C6"/>
    <w:rsid w:val="005D649D"/>
    <w:rsid w:val="006C2987"/>
    <w:rsid w:val="006E0149"/>
    <w:rsid w:val="006F2A83"/>
    <w:rsid w:val="00796605"/>
    <w:rsid w:val="007B260E"/>
    <w:rsid w:val="007D3AEE"/>
    <w:rsid w:val="007E3E3B"/>
    <w:rsid w:val="008018E2"/>
    <w:rsid w:val="008274EE"/>
    <w:rsid w:val="00833608"/>
    <w:rsid w:val="00867970"/>
    <w:rsid w:val="008940C1"/>
    <w:rsid w:val="008A075C"/>
    <w:rsid w:val="008B0135"/>
    <w:rsid w:val="008B2AAE"/>
    <w:rsid w:val="00932113"/>
    <w:rsid w:val="009424A2"/>
    <w:rsid w:val="0099276A"/>
    <w:rsid w:val="009A0119"/>
    <w:rsid w:val="009F1E19"/>
    <w:rsid w:val="009F2669"/>
    <w:rsid w:val="009F6D8F"/>
    <w:rsid w:val="00A926FA"/>
    <w:rsid w:val="00AD052E"/>
    <w:rsid w:val="00AD3FD9"/>
    <w:rsid w:val="00AE21D8"/>
    <w:rsid w:val="00B31525"/>
    <w:rsid w:val="00B324CA"/>
    <w:rsid w:val="00B40D12"/>
    <w:rsid w:val="00B64543"/>
    <w:rsid w:val="00B73598"/>
    <w:rsid w:val="00B841F3"/>
    <w:rsid w:val="00B84C31"/>
    <w:rsid w:val="00B85A17"/>
    <w:rsid w:val="00BC1E19"/>
    <w:rsid w:val="00BD5DCA"/>
    <w:rsid w:val="00BF6F75"/>
    <w:rsid w:val="00C27E8F"/>
    <w:rsid w:val="00C75974"/>
    <w:rsid w:val="00C8735F"/>
    <w:rsid w:val="00D04551"/>
    <w:rsid w:val="00D050E3"/>
    <w:rsid w:val="00D30EB5"/>
    <w:rsid w:val="00D56CA7"/>
    <w:rsid w:val="00DA1E81"/>
    <w:rsid w:val="00DC2D93"/>
    <w:rsid w:val="00DD6DD9"/>
    <w:rsid w:val="00DF5F0F"/>
    <w:rsid w:val="00E14FCC"/>
    <w:rsid w:val="00E91386"/>
    <w:rsid w:val="00EA457F"/>
    <w:rsid w:val="00ED6F0E"/>
    <w:rsid w:val="00ED7796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113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1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2502-1D41-482F-9363-D6C2D13E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52</cp:revision>
  <cp:lastPrinted>2023-02-24T14:12:00Z</cp:lastPrinted>
  <dcterms:created xsi:type="dcterms:W3CDTF">2023-01-25T16:59:00Z</dcterms:created>
  <dcterms:modified xsi:type="dcterms:W3CDTF">2023-04-08T16:11:00Z</dcterms:modified>
</cp:coreProperties>
</file>